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4239" w14:textId="3F2987C2" w:rsidR="00C1593C" w:rsidRPr="00465499" w:rsidRDefault="00181638" w:rsidP="00AC757F">
      <w:pPr>
        <w:pStyle w:val="Sprechblasentext"/>
        <w:tabs>
          <w:tab w:val="left" w:pos="3514"/>
          <w:tab w:val="left" w:pos="6033"/>
        </w:tabs>
        <w:spacing w:line="360" w:lineRule="exact"/>
        <w:rPr>
          <w:rFonts w:ascii="Arial" w:hAnsi="Arial" w:cs="Arial"/>
          <w:sz w:val="22"/>
          <w:szCs w:val="22"/>
          <w:lang w:val="en-US"/>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5499">
        <w:rPr>
          <w:rFonts w:ascii="Arial" w:hAnsi="Arial" w:cs="Arial"/>
          <w:sz w:val="18"/>
          <w:szCs w:val="18"/>
          <w:lang w:val="en-US"/>
        </w:rPr>
        <w:tab/>
        <w:t xml:space="preserve">                                  </w:t>
      </w:r>
      <w:r w:rsidR="00F83864">
        <w:rPr>
          <w:rFonts w:ascii="Arial" w:hAnsi="Arial" w:cs="Arial"/>
          <w:sz w:val="18"/>
          <w:szCs w:val="18"/>
          <w:lang w:val="en-US"/>
        </w:rPr>
        <w:t>März</w:t>
      </w:r>
      <w:r w:rsidR="00A50725" w:rsidRPr="00465499">
        <w:rPr>
          <w:rFonts w:ascii="Arial" w:hAnsi="Arial" w:cs="Arial"/>
          <w:sz w:val="18"/>
          <w:szCs w:val="18"/>
          <w:lang w:val="en-US"/>
        </w:rPr>
        <w:t xml:space="preserve"> </w:t>
      </w:r>
      <w:r w:rsidRPr="00465499">
        <w:rPr>
          <w:rFonts w:ascii="Arial" w:hAnsi="Arial" w:cs="Arial"/>
          <w:sz w:val="18"/>
          <w:szCs w:val="18"/>
          <w:lang w:val="en-US"/>
        </w:rPr>
        <w:t>202</w:t>
      </w:r>
      <w:r w:rsidR="001E45A4" w:rsidRPr="00465499">
        <w:rPr>
          <w:rFonts w:ascii="Arial" w:hAnsi="Arial" w:cs="Arial"/>
          <w:sz w:val="18"/>
          <w:szCs w:val="18"/>
          <w:lang w:val="en-US"/>
        </w:rPr>
        <w:t>6</w:t>
      </w:r>
      <w:r w:rsidRPr="00465499">
        <w:rPr>
          <w:rFonts w:ascii="Arial" w:hAnsi="Arial" w:cs="Arial"/>
          <w:sz w:val="22"/>
          <w:szCs w:val="22"/>
          <w:lang w:val="en-US"/>
        </w:rPr>
        <w:tab/>
      </w:r>
    </w:p>
    <w:p w14:paraId="609DC21E" w14:textId="77777777" w:rsidR="009A4946" w:rsidRPr="00465499" w:rsidRDefault="009A4946" w:rsidP="00AC757F">
      <w:pPr>
        <w:pBdr>
          <w:bottom w:val="single" w:sz="12" w:space="21" w:color="auto"/>
        </w:pBdr>
        <w:spacing w:line="360" w:lineRule="exact"/>
        <w:ind w:right="1128"/>
        <w:rPr>
          <w:rFonts w:ascii="Arial" w:hAnsi="Arial" w:cs="Arial"/>
          <w:b/>
          <w:bCs/>
          <w:lang w:val="en-US"/>
        </w:rPr>
      </w:pPr>
    </w:p>
    <w:p w14:paraId="7BCB5CB5" w14:textId="5119D48B" w:rsidR="002C2BB1" w:rsidRDefault="002C2BB1" w:rsidP="002C2BB1">
      <w:pPr>
        <w:pBdr>
          <w:bottom w:val="single" w:sz="12" w:space="21" w:color="auto"/>
        </w:pBdr>
        <w:spacing w:line="360" w:lineRule="exact"/>
        <w:ind w:right="1128"/>
        <w:rPr>
          <w:rFonts w:ascii="Arial" w:hAnsi="Arial" w:cs="Arial"/>
          <w:b/>
          <w:bCs/>
          <w:sz w:val="28"/>
          <w:szCs w:val="28"/>
        </w:rPr>
      </w:pPr>
      <w:r w:rsidRPr="002C2BB1">
        <w:rPr>
          <w:rFonts w:ascii="Arial" w:hAnsi="Arial" w:cs="Arial"/>
          <w:b/>
          <w:bCs/>
          <w:sz w:val="28"/>
          <w:szCs w:val="28"/>
        </w:rPr>
        <w:t>Hottgenroth Software AG begrüßt Besuch von Wirtschaftsministerin Mona Neubaur im Rahmen der „NRW Innovation Tour 2026“ </w:t>
      </w:r>
    </w:p>
    <w:p w14:paraId="0CA8318E" w14:textId="77777777" w:rsidR="002C2BB1" w:rsidRPr="002C2BB1" w:rsidRDefault="002C2BB1" w:rsidP="002C2BB1">
      <w:pPr>
        <w:pBdr>
          <w:bottom w:val="single" w:sz="12" w:space="21" w:color="auto"/>
        </w:pBdr>
        <w:spacing w:line="360" w:lineRule="exact"/>
        <w:ind w:right="1128"/>
        <w:rPr>
          <w:rFonts w:ascii="Arial" w:hAnsi="Arial" w:cs="Arial"/>
          <w:b/>
          <w:bCs/>
        </w:rPr>
      </w:pPr>
    </w:p>
    <w:p w14:paraId="43B0819E" w14:textId="77777777" w:rsidR="002C2BB1" w:rsidRDefault="002C2BB1" w:rsidP="002C2BB1">
      <w:pPr>
        <w:pBdr>
          <w:bottom w:val="single" w:sz="12" w:space="21" w:color="auto"/>
        </w:pBdr>
        <w:spacing w:line="360" w:lineRule="exact"/>
        <w:ind w:right="1128"/>
        <w:rPr>
          <w:rFonts w:ascii="Arial" w:hAnsi="Arial" w:cs="Arial"/>
        </w:rPr>
      </w:pPr>
      <w:r w:rsidRPr="002C2BB1">
        <w:rPr>
          <w:rFonts w:ascii="Arial" w:hAnsi="Arial" w:cs="Arial"/>
          <w:b/>
          <w:bCs/>
        </w:rPr>
        <w:t>Köln, 13. März 2026</w:t>
      </w:r>
      <w:r w:rsidRPr="002C2BB1">
        <w:rPr>
          <w:rFonts w:ascii="Arial" w:hAnsi="Arial" w:cs="Arial"/>
        </w:rPr>
        <w:t xml:space="preserve"> – Die Hottgenroth Software AG hat heute im Rahmen der „NRW Innovation Tour 2026“ Wirtschafts- und Klimaschutzministerin Mona Neubaur am Standort Köln empfangen. Im Fokus des Besuchs stand das gemeinsame Forschungs- und Entwicklungsprojekt „</w:t>
      </w:r>
      <w:proofErr w:type="spellStart"/>
      <w:r w:rsidRPr="002C2BB1">
        <w:rPr>
          <w:rFonts w:ascii="Arial" w:hAnsi="Arial" w:cs="Arial"/>
        </w:rPr>
        <w:t>SmartPrior</w:t>
      </w:r>
      <w:proofErr w:type="spellEnd"/>
      <w:r w:rsidRPr="002C2BB1">
        <w:rPr>
          <w:rFonts w:ascii="Arial" w:hAnsi="Arial" w:cs="Arial"/>
        </w:rPr>
        <w:t>“ mit der Hochschule Düsseldorf. Das zeigt, wie Künstliche Intelligenz und </w:t>
      </w:r>
      <w:proofErr w:type="spellStart"/>
      <w:r w:rsidRPr="002C2BB1">
        <w:rPr>
          <w:rFonts w:ascii="Arial" w:hAnsi="Arial" w:cs="Arial"/>
        </w:rPr>
        <w:t>Machine</w:t>
      </w:r>
      <w:proofErr w:type="spellEnd"/>
      <w:r w:rsidRPr="002C2BB1">
        <w:rPr>
          <w:rFonts w:ascii="Arial" w:hAnsi="Arial" w:cs="Arial"/>
        </w:rPr>
        <w:t> Learning die Optimierung technischer Gebäudeausrüstung (TGA) auf ein neues Niveau heben können. </w:t>
      </w:r>
    </w:p>
    <w:p w14:paraId="53784A07" w14:textId="77777777" w:rsidR="002C2BB1" w:rsidRPr="002C2BB1" w:rsidRDefault="002C2BB1" w:rsidP="002C2BB1">
      <w:pPr>
        <w:pBdr>
          <w:bottom w:val="single" w:sz="12" w:space="21" w:color="auto"/>
        </w:pBdr>
        <w:spacing w:line="360" w:lineRule="exact"/>
        <w:ind w:right="1128"/>
        <w:rPr>
          <w:rFonts w:ascii="Arial" w:hAnsi="Arial" w:cs="Arial"/>
        </w:rPr>
      </w:pPr>
    </w:p>
    <w:p w14:paraId="65695998" w14:textId="77777777" w:rsidR="002C2BB1" w:rsidRPr="002C2BB1" w:rsidRDefault="002C2BB1" w:rsidP="002C2BB1">
      <w:pPr>
        <w:pBdr>
          <w:bottom w:val="single" w:sz="12" w:space="21" w:color="auto"/>
        </w:pBdr>
        <w:spacing w:line="360" w:lineRule="exact"/>
        <w:ind w:right="1128"/>
        <w:rPr>
          <w:rFonts w:ascii="Arial" w:hAnsi="Arial" w:cs="Arial"/>
        </w:rPr>
      </w:pPr>
      <w:r w:rsidRPr="002C2BB1">
        <w:rPr>
          <w:rFonts w:ascii="Arial" w:hAnsi="Arial" w:cs="Arial"/>
          <w:b/>
          <w:bCs/>
        </w:rPr>
        <w:t>KI-gestützte Optimierung technischer Gebäudeausrüstung</w:t>
      </w:r>
      <w:r w:rsidRPr="002C2BB1">
        <w:rPr>
          <w:rFonts w:ascii="Arial" w:hAnsi="Arial" w:cs="Arial"/>
        </w:rPr>
        <w:t> </w:t>
      </w:r>
    </w:p>
    <w:p w14:paraId="159F1C33" w14:textId="77777777" w:rsidR="002C2BB1" w:rsidRDefault="002C2BB1" w:rsidP="002C2BB1">
      <w:pPr>
        <w:pBdr>
          <w:bottom w:val="single" w:sz="12" w:space="21" w:color="auto"/>
        </w:pBdr>
        <w:spacing w:line="360" w:lineRule="exact"/>
        <w:ind w:right="1128"/>
        <w:rPr>
          <w:rFonts w:ascii="Arial" w:hAnsi="Arial" w:cs="Arial"/>
        </w:rPr>
      </w:pPr>
      <w:r w:rsidRPr="002C2BB1">
        <w:rPr>
          <w:rFonts w:ascii="Arial" w:hAnsi="Arial" w:cs="Arial"/>
        </w:rPr>
        <w:t>Im Projekt „</w:t>
      </w:r>
      <w:proofErr w:type="spellStart"/>
      <w:r w:rsidRPr="002C2BB1">
        <w:rPr>
          <w:rFonts w:ascii="Arial" w:hAnsi="Arial" w:cs="Arial"/>
        </w:rPr>
        <w:t>SmartPrior</w:t>
      </w:r>
      <w:proofErr w:type="spellEnd"/>
      <w:r w:rsidRPr="002C2BB1">
        <w:rPr>
          <w:rFonts w:ascii="Arial" w:hAnsi="Arial" w:cs="Arial"/>
        </w:rPr>
        <w:t>“ geht es um die schnelle, aber dennoch präzise Optimierung von TGA-Anlagen – von einzelnen Gebäuden bis hin zu ganzen Quartieren. Mithilfe von </w:t>
      </w:r>
      <w:proofErr w:type="spellStart"/>
      <w:r w:rsidRPr="002C2BB1">
        <w:rPr>
          <w:rFonts w:ascii="Arial" w:hAnsi="Arial" w:cs="Arial"/>
        </w:rPr>
        <w:t>Machine</w:t>
      </w:r>
      <w:proofErr w:type="spellEnd"/>
      <w:r w:rsidRPr="002C2BB1">
        <w:rPr>
          <w:rFonts w:ascii="Arial" w:hAnsi="Arial" w:cs="Arial"/>
        </w:rPr>
        <w:t>-Learning-Verfahren können Heizungs- und Kühlsysteme nach ökonomischen und ökologischen Gesichtspunkten einfach und fundiert optimiert werden. Unterschiedlichste Systemvarianten werden digital abgebildet, miteinander verglichen und so das jeweils am besten geeignete System ausgewählt und gleichzeitig dimensioniert. Planerinnen, Planer und Akteure innerhalb des Baugewerbes erhalten damit ein praxisnahes Werkzeug, um Energieeffizienz, Wirtschaftlichkeit und Klimaschutz in Einklang zu bringen. </w:t>
      </w:r>
    </w:p>
    <w:p w14:paraId="5254B5B8" w14:textId="77777777" w:rsidR="002C2BB1" w:rsidRPr="002C2BB1" w:rsidRDefault="002C2BB1" w:rsidP="002C2BB1">
      <w:pPr>
        <w:pBdr>
          <w:bottom w:val="single" w:sz="12" w:space="21" w:color="auto"/>
        </w:pBdr>
        <w:spacing w:line="360" w:lineRule="exact"/>
        <w:ind w:right="1128"/>
        <w:rPr>
          <w:rFonts w:ascii="Arial" w:hAnsi="Arial" w:cs="Arial"/>
        </w:rPr>
      </w:pPr>
    </w:p>
    <w:p w14:paraId="14098D4C" w14:textId="77777777" w:rsidR="002C2BB1" w:rsidRPr="002C2BB1" w:rsidRDefault="002C2BB1" w:rsidP="002C2BB1">
      <w:pPr>
        <w:pBdr>
          <w:bottom w:val="single" w:sz="12" w:space="21" w:color="auto"/>
        </w:pBdr>
        <w:spacing w:line="360" w:lineRule="exact"/>
        <w:ind w:right="1128"/>
        <w:rPr>
          <w:rFonts w:ascii="Arial" w:hAnsi="Arial" w:cs="Arial"/>
        </w:rPr>
      </w:pPr>
      <w:r w:rsidRPr="002C2BB1">
        <w:rPr>
          <w:rFonts w:ascii="Arial" w:hAnsi="Arial" w:cs="Arial"/>
          <w:b/>
          <w:bCs/>
        </w:rPr>
        <w:lastRenderedPageBreak/>
        <w:t>Kooperation zwischen Wissenschaft und Wirtschaft</w:t>
      </w:r>
      <w:r w:rsidRPr="002C2BB1">
        <w:rPr>
          <w:rFonts w:ascii="Arial" w:hAnsi="Arial" w:cs="Arial"/>
        </w:rPr>
        <w:t> </w:t>
      </w:r>
    </w:p>
    <w:p w14:paraId="4D7E5C00" w14:textId="088AEFA8" w:rsidR="002C2BB1" w:rsidRDefault="002C2BB1" w:rsidP="002C2BB1">
      <w:pPr>
        <w:pBdr>
          <w:bottom w:val="single" w:sz="12" w:space="21" w:color="auto"/>
        </w:pBdr>
        <w:spacing w:line="360" w:lineRule="exact"/>
        <w:ind w:right="1128"/>
        <w:rPr>
          <w:rFonts w:ascii="Arial" w:hAnsi="Arial" w:cs="Arial"/>
        </w:rPr>
      </w:pPr>
      <w:r w:rsidRPr="002C2BB1">
        <w:rPr>
          <w:rFonts w:ascii="Arial" w:hAnsi="Arial" w:cs="Arial"/>
        </w:rPr>
        <w:t>„</w:t>
      </w:r>
      <w:proofErr w:type="spellStart"/>
      <w:r w:rsidRPr="002C2BB1">
        <w:rPr>
          <w:rFonts w:ascii="Arial" w:hAnsi="Arial" w:cs="Arial"/>
        </w:rPr>
        <w:t>SmartPrior</w:t>
      </w:r>
      <w:proofErr w:type="spellEnd"/>
      <w:r w:rsidR="000D7429">
        <w:rPr>
          <w:rFonts w:ascii="Arial" w:hAnsi="Arial" w:cs="Arial"/>
        </w:rPr>
        <w:t>“</w:t>
      </w:r>
      <w:r w:rsidRPr="002C2BB1">
        <w:rPr>
          <w:rFonts w:ascii="Arial" w:hAnsi="Arial" w:cs="Arial"/>
        </w:rPr>
        <w:t xml:space="preserve"> ist ein sehr gutes Beispiel dafür, wie eine erfolgreiche Kooperation zwischen einem mittelständischen Unternehmen und einer Hochschule den Technologietransfer in die Praxis beschleunigt“, erklärt </w:t>
      </w:r>
      <w:r w:rsidR="00E16E3B">
        <w:rPr>
          <w:rFonts w:ascii="Arial" w:hAnsi="Arial" w:cs="Arial"/>
        </w:rPr>
        <w:t>Björn Wolff, COO der</w:t>
      </w:r>
      <w:r w:rsidRPr="002C2BB1">
        <w:rPr>
          <w:rFonts w:ascii="Arial" w:hAnsi="Arial" w:cs="Arial"/>
        </w:rPr>
        <w:t> Hottgenroth Software AG. „Gemeinsam mit unseren wissenschaftlichen Partnern konnten wir aktuelle Forschungsergebnisse aus dem Bereich Künstliche Intelligenz direkt in marktfähige Lösungen überführen. Davon profitieren am Ende alle: Planende, Ausführende und nicht zuletzt die Gebäudenutzer.“ </w:t>
      </w:r>
    </w:p>
    <w:p w14:paraId="2C1BA88A" w14:textId="77777777" w:rsidR="002C2BB1" w:rsidRPr="002C2BB1" w:rsidRDefault="002C2BB1" w:rsidP="002C2BB1">
      <w:pPr>
        <w:pBdr>
          <w:bottom w:val="single" w:sz="12" w:space="21" w:color="auto"/>
        </w:pBdr>
        <w:spacing w:line="360" w:lineRule="exact"/>
        <w:ind w:right="1128"/>
        <w:rPr>
          <w:rFonts w:ascii="Arial" w:hAnsi="Arial" w:cs="Arial"/>
        </w:rPr>
      </w:pPr>
    </w:p>
    <w:p w14:paraId="039C391B" w14:textId="77777777" w:rsidR="002C2BB1" w:rsidRPr="002C2BB1" w:rsidRDefault="002C2BB1" w:rsidP="002C2BB1">
      <w:pPr>
        <w:pBdr>
          <w:bottom w:val="single" w:sz="12" w:space="21" w:color="auto"/>
        </w:pBdr>
        <w:spacing w:line="360" w:lineRule="exact"/>
        <w:ind w:right="1128"/>
        <w:rPr>
          <w:rFonts w:ascii="Arial" w:hAnsi="Arial" w:cs="Arial"/>
        </w:rPr>
      </w:pPr>
      <w:r w:rsidRPr="002C2BB1">
        <w:rPr>
          <w:rFonts w:ascii="Arial" w:hAnsi="Arial" w:cs="Arial"/>
          <w:b/>
          <w:bCs/>
        </w:rPr>
        <w:t>Digitaler Technologietransfer im Gebäudesektor</w:t>
      </w:r>
      <w:r w:rsidRPr="002C2BB1">
        <w:rPr>
          <w:rFonts w:ascii="Arial" w:hAnsi="Arial" w:cs="Arial"/>
        </w:rPr>
        <w:t> </w:t>
      </w:r>
    </w:p>
    <w:p w14:paraId="1B4770C4" w14:textId="268F429E" w:rsidR="002C2BB1" w:rsidRPr="002C2BB1" w:rsidRDefault="002C2BB1" w:rsidP="002C2BB1">
      <w:pPr>
        <w:pBdr>
          <w:bottom w:val="single" w:sz="12" w:space="21" w:color="auto"/>
        </w:pBdr>
        <w:spacing w:line="360" w:lineRule="exact"/>
        <w:ind w:right="1128"/>
        <w:rPr>
          <w:rFonts w:ascii="Arial" w:hAnsi="Arial" w:cs="Arial"/>
        </w:rPr>
      </w:pPr>
      <w:r w:rsidRPr="002C2BB1">
        <w:rPr>
          <w:rFonts w:ascii="Arial" w:hAnsi="Arial" w:cs="Arial"/>
        </w:rPr>
        <w:t>Durch den gezielten Technologietransfer kann Hottgenroth </w:t>
      </w:r>
      <w:r w:rsidR="00E16E3B">
        <w:rPr>
          <w:rFonts w:ascii="Arial" w:hAnsi="Arial" w:cs="Arial"/>
        </w:rPr>
        <w:t xml:space="preserve">Software </w:t>
      </w:r>
      <w:r w:rsidRPr="002C2BB1">
        <w:rPr>
          <w:rFonts w:ascii="Arial" w:hAnsi="Arial" w:cs="Arial"/>
        </w:rPr>
        <w:t>dem Baugewerbe effiziente, digital unterstützte Lösungen für Planung und Betrieb von TGA-Anlagen bereitstellen. So leistet das Unternehmen einen konkreten Beitrag dazu, die Wärmewende im Gebäudebestand wie im Neubau zu beschleunigen. Neben „</w:t>
      </w:r>
      <w:proofErr w:type="spellStart"/>
      <w:r w:rsidRPr="002C2BB1">
        <w:rPr>
          <w:rFonts w:ascii="Arial" w:hAnsi="Arial" w:cs="Arial"/>
        </w:rPr>
        <w:t>SmartPrior</w:t>
      </w:r>
      <w:proofErr w:type="spellEnd"/>
      <w:r w:rsidRPr="002C2BB1">
        <w:rPr>
          <w:rFonts w:ascii="Arial" w:hAnsi="Arial" w:cs="Arial"/>
        </w:rPr>
        <w:t>“ konnte </w:t>
      </w:r>
      <w:r w:rsidR="00E16E3B">
        <w:rPr>
          <w:rFonts w:ascii="Arial" w:hAnsi="Arial" w:cs="Arial"/>
        </w:rPr>
        <w:t>das Unternehmen</w:t>
      </w:r>
      <w:r w:rsidRPr="002C2BB1">
        <w:rPr>
          <w:rFonts w:ascii="Arial" w:hAnsi="Arial" w:cs="Arial"/>
        </w:rPr>
        <w:t xml:space="preserve"> der Ministerin weitere erfolgreiche Beispiele der Zusammenarbeit mit Hochschulen und Forschungseinrichtungen präsentieren, die die kontinuierliche Innovationskraft </w:t>
      </w:r>
      <w:r w:rsidR="00EF1DA8">
        <w:rPr>
          <w:rFonts w:ascii="Arial" w:hAnsi="Arial" w:cs="Arial"/>
        </w:rPr>
        <w:t>der Firma</w:t>
      </w:r>
      <w:r w:rsidRPr="002C2BB1">
        <w:rPr>
          <w:rFonts w:ascii="Arial" w:hAnsi="Arial" w:cs="Arial"/>
        </w:rPr>
        <w:t xml:space="preserve"> unterstreichen. </w:t>
      </w:r>
    </w:p>
    <w:p w14:paraId="1EBDCC46" w14:textId="77777777" w:rsidR="002C2BB1" w:rsidRPr="002C2BB1" w:rsidRDefault="002C2BB1" w:rsidP="002C2BB1">
      <w:pPr>
        <w:pBdr>
          <w:bottom w:val="single" w:sz="12" w:space="21" w:color="auto"/>
        </w:pBdr>
        <w:spacing w:line="360" w:lineRule="exact"/>
        <w:ind w:right="1128"/>
        <w:rPr>
          <w:rFonts w:ascii="Arial" w:hAnsi="Arial" w:cs="Arial"/>
        </w:rPr>
      </w:pPr>
      <w:r w:rsidRPr="002C2BB1">
        <w:rPr>
          <w:rFonts w:ascii="Arial" w:hAnsi="Arial" w:cs="Arial"/>
        </w:rPr>
        <w:t> </w:t>
      </w:r>
    </w:p>
    <w:p w14:paraId="72524E54" w14:textId="50F9A4E6" w:rsidR="002C2BB1" w:rsidRDefault="002C2BB1" w:rsidP="002C2BB1">
      <w:pPr>
        <w:pBdr>
          <w:bottom w:val="single" w:sz="12" w:space="21" w:color="auto"/>
        </w:pBdr>
        <w:spacing w:line="360" w:lineRule="exact"/>
        <w:ind w:right="1128"/>
        <w:rPr>
          <w:rFonts w:ascii="Arial" w:hAnsi="Arial" w:cs="Arial"/>
        </w:rPr>
      </w:pPr>
      <w:r w:rsidRPr="002C2BB1">
        <w:rPr>
          <w:rFonts w:ascii="Arial" w:hAnsi="Arial" w:cs="Arial"/>
        </w:rPr>
        <w:t xml:space="preserve">„Die Wärmewende ist eine der zentralen Aufgaben der kommenden Jahre. Mit unseren Softwarelösungen wollen wir Planer und das Handwerk in die Lage versetzen, technisch optimale und zugleich wirtschaftlich sinnvolle Entscheidungen zu treffen – und das auf Basis fundierter Daten und moderner KI-Methoden“, so </w:t>
      </w:r>
      <w:r w:rsidR="00E16E3B">
        <w:rPr>
          <w:rFonts w:ascii="Arial" w:hAnsi="Arial" w:cs="Arial"/>
        </w:rPr>
        <w:t>Wolff</w:t>
      </w:r>
      <w:r w:rsidRPr="002C2BB1">
        <w:rPr>
          <w:rFonts w:ascii="Arial" w:hAnsi="Arial" w:cs="Arial"/>
        </w:rPr>
        <w:t xml:space="preserve"> weiter. „Der Besuch im Rahmen der NRW Innovation Tour 2026 ist für uns eine </w:t>
      </w:r>
      <w:r w:rsidRPr="002C2BB1">
        <w:rPr>
          <w:rFonts w:ascii="Arial" w:hAnsi="Arial" w:cs="Arial"/>
        </w:rPr>
        <w:lastRenderedPageBreak/>
        <w:t>wichtige Anerkennung dieser Arbeit und ein Ansporn, den Weg der engen Verzahnung von Forschung und Praxis weiterzugehen.“ </w:t>
      </w:r>
    </w:p>
    <w:p w14:paraId="3257A05E" w14:textId="77777777" w:rsidR="002C2BB1" w:rsidRPr="002C2BB1" w:rsidRDefault="002C2BB1" w:rsidP="002C2BB1">
      <w:pPr>
        <w:pBdr>
          <w:bottom w:val="single" w:sz="12" w:space="21" w:color="auto"/>
        </w:pBdr>
        <w:spacing w:line="360" w:lineRule="exact"/>
        <w:ind w:right="1128"/>
        <w:rPr>
          <w:rFonts w:ascii="Arial" w:hAnsi="Arial" w:cs="Arial"/>
        </w:rPr>
      </w:pPr>
    </w:p>
    <w:p w14:paraId="5A93CF7F" w14:textId="77777777" w:rsidR="002C2BB1" w:rsidRPr="002C2BB1" w:rsidRDefault="002C2BB1" w:rsidP="002C2BB1">
      <w:pPr>
        <w:pBdr>
          <w:bottom w:val="single" w:sz="12" w:space="21" w:color="auto"/>
        </w:pBdr>
        <w:spacing w:line="360" w:lineRule="exact"/>
        <w:ind w:right="1128"/>
        <w:rPr>
          <w:rFonts w:ascii="Arial" w:hAnsi="Arial" w:cs="Arial"/>
        </w:rPr>
      </w:pPr>
      <w:r w:rsidRPr="002C2BB1">
        <w:rPr>
          <w:rFonts w:ascii="Arial" w:hAnsi="Arial" w:cs="Arial"/>
          <w:b/>
          <w:bCs/>
        </w:rPr>
        <w:t>Über Hottgenroth Software AG</w:t>
      </w:r>
      <w:r w:rsidRPr="002C2BB1">
        <w:rPr>
          <w:rFonts w:ascii="Arial" w:hAnsi="Arial" w:cs="Arial"/>
        </w:rPr>
        <w:t> </w:t>
      </w:r>
      <w:r w:rsidRPr="002C2BB1">
        <w:rPr>
          <w:rFonts w:ascii="Arial" w:hAnsi="Arial" w:cs="Arial"/>
        </w:rPr>
        <w:br/>
        <w:t>Die Hottgenroth Software AG mit Hauptsitz in Köln entwickelt seit vielen Jahren Softwarelösungen für Energieeffizienz, Gebäudetechnik und das Bauwesen. Im Mittelpunkt stehen digitale Werkzeuge für die energetische Bewertung von Gebäuden, die Planung technischer Anlagen sowie die Unterstützung von Planungs- und Ausführungsprozessen im Bau- und TGA-Bereich. Ziel ist es, komplexe technische Anforderungen einfach, transparent und praxisgerecht in digitale Lösungen zu übersetzen und so einen Beitrag zur erfolgreichen Umsetzung der Energie- und Wärmewende zu leisten. </w:t>
      </w:r>
    </w:p>
    <w:p w14:paraId="6728AF51" w14:textId="738C1306" w:rsidR="005359DA" w:rsidRDefault="005359DA" w:rsidP="002C2BB1">
      <w:pPr>
        <w:pBdr>
          <w:bottom w:val="single" w:sz="12" w:space="21" w:color="auto"/>
        </w:pBdr>
        <w:spacing w:line="360" w:lineRule="exact"/>
        <w:ind w:right="1128"/>
        <w:jc w:val="both"/>
        <w:rPr>
          <w:rFonts w:ascii="Arial" w:hAnsi="Arial" w:cs="Arial"/>
        </w:rPr>
      </w:pPr>
    </w:p>
    <w:p w14:paraId="02EA2670" w14:textId="77777777" w:rsidR="001F6CA9" w:rsidRDefault="001F6CA9" w:rsidP="00AC757F">
      <w:pPr>
        <w:pBdr>
          <w:bottom w:val="single" w:sz="12" w:space="21" w:color="auto"/>
        </w:pBdr>
        <w:spacing w:line="360" w:lineRule="exact"/>
        <w:ind w:right="1128"/>
        <w:rPr>
          <w:rFonts w:ascii="Arial" w:hAnsi="Arial" w:cs="Arial"/>
        </w:rPr>
      </w:pPr>
    </w:p>
    <w:p w14:paraId="4D9FBB4D" w14:textId="5C12ACD4" w:rsidR="008F4E88" w:rsidRPr="008F4E88" w:rsidRDefault="008F4E88" w:rsidP="00AC757F">
      <w:pPr>
        <w:pBdr>
          <w:bottom w:val="single" w:sz="12" w:space="21" w:color="auto"/>
        </w:pBdr>
        <w:spacing w:line="360" w:lineRule="exact"/>
        <w:ind w:right="1128"/>
        <w:rPr>
          <w:rFonts w:ascii="Arial" w:hAnsi="Arial" w:cs="Arial"/>
        </w:rPr>
      </w:pPr>
      <w:r w:rsidRPr="008F4E88">
        <w:rPr>
          <w:rFonts w:ascii="Arial" w:hAnsi="Arial" w:cs="Arial"/>
        </w:rPr>
        <w:t xml:space="preserve">Weitere Informationen unter: </w:t>
      </w:r>
      <w:hyperlink r:id="rId8" w:tgtFrame="_new" w:history="1">
        <w:r w:rsidRPr="008F4E88">
          <w:rPr>
            <w:rStyle w:val="Hyperlink"/>
            <w:rFonts w:ascii="Arial" w:hAnsi="Arial" w:cs="Arial"/>
            <w:b/>
            <w:bCs/>
          </w:rPr>
          <w:t>www.hottgenroth.de</w:t>
        </w:r>
      </w:hyperlink>
    </w:p>
    <w:p w14:paraId="5D81642C" w14:textId="748D180C" w:rsidR="006B389D" w:rsidRDefault="006B389D" w:rsidP="00AC757F">
      <w:pPr>
        <w:pBdr>
          <w:bottom w:val="single" w:sz="12" w:space="1" w:color="auto"/>
        </w:pBdr>
        <w:spacing w:line="360" w:lineRule="exact"/>
        <w:ind w:right="1128"/>
        <w:rPr>
          <w:rFonts w:ascii="Arial" w:hAnsi="Arial" w:cs="Arial"/>
        </w:rPr>
      </w:pPr>
      <w:r>
        <w:rPr>
          <w:rFonts w:ascii="Arial" w:hAnsi="Arial" w:cs="Arial"/>
        </w:rPr>
        <w:br/>
        <w:t>Autor: Hottgenroth Software AG</w:t>
      </w:r>
    </w:p>
    <w:p w14:paraId="1E3D95C9" w14:textId="06196843" w:rsidR="00724D39" w:rsidRDefault="006B389D" w:rsidP="00AC757F">
      <w:pPr>
        <w:pBdr>
          <w:bottom w:val="single" w:sz="12" w:space="1" w:color="auto"/>
        </w:pBdr>
        <w:spacing w:line="360" w:lineRule="exact"/>
        <w:ind w:right="1128"/>
        <w:rPr>
          <w:rFonts w:ascii="Arial" w:hAnsi="Arial" w:cs="Arial"/>
        </w:rPr>
      </w:pPr>
      <w:r>
        <w:rPr>
          <w:rFonts w:ascii="Arial" w:hAnsi="Arial" w:cs="Arial"/>
        </w:rPr>
        <w:t>Copyright: Hottgenroth Software AG</w:t>
      </w:r>
    </w:p>
    <w:p w14:paraId="3512A25D" w14:textId="77777777" w:rsidR="00724D39" w:rsidRPr="00004CF4" w:rsidRDefault="00724D39" w:rsidP="00AC757F">
      <w:pPr>
        <w:pBdr>
          <w:bottom w:val="single" w:sz="12" w:space="1" w:color="auto"/>
        </w:pBdr>
        <w:spacing w:line="360" w:lineRule="exact"/>
        <w:ind w:right="1128"/>
        <w:rPr>
          <w:rFonts w:ascii="Arial" w:hAnsi="Arial" w:cs="Arial"/>
        </w:rPr>
      </w:pPr>
    </w:p>
    <w:p w14:paraId="3D315CE8" w14:textId="77777777" w:rsidR="002B431B" w:rsidRDefault="002B431B" w:rsidP="00AC757F">
      <w:pPr>
        <w:widowControl w:val="0"/>
        <w:suppressAutoHyphens/>
        <w:autoSpaceDE w:val="0"/>
        <w:autoSpaceDN w:val="0"/>
        <w:adjustRightInd w:val="0"/>
        <w:spacing w:line="360" w:lineRule="exact"/>
        <w:ind w:right="1128"/>
        <w:rPr>
          <w:rFonts w:ascii="Arial" w:hAnsi="Arial" w:cs="Arial"/>
          <w:sz w:val="22"/>
          <w:szCs w:val="22"/>
        </w:rPr>
      </w:pPr>
    </w:p>
    <w:p w14:paraId="051C33FB" w14:textId="2A4990DA" w:rsidR="008A172F" w:rsidRPr="00F83864" w:rsidRDefault="008A172F" w:rsidP="00F83864">
      <w:pPr>
        <w:widowControl w:val="0"/>
        <w:suppressAutoHyphens/>
        <w:autoSpaceDE w:val="0"/>
        <w:autoSpaceDN w:val="0"/>
        <w:adjustRightInd w:val="0"/>
        <w:spacing w:line="360" w:lineRule="exact"/>
        <w:ind w:right="1128"/>
        <w:rPr>
          <w:rFonts w:ascii="Arial" w:hAnsi="Arial" w:cs="Arial"/>
          <w:sz w:val="22"/>
          <w:szCs w:val="22"/>
        </w:rPr>
      </w:pPr>
    </w:p>
    <w:sectPr w:rsidR="008A172F" w:rsidRPr="00F83864">
      <w:headerReference w:type="default" r:id="rId9"/>
      <w:footerReference w:type="first" r:id="rId10"/>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60AC5" w14:textId="77777777" w:rsidR="00333577" w:rsidRDefault="00333577">
      <w:r>
        <w:separator/>
      </w:r>
    </w:p>
  </w:endnote>
  <w:endnote w:type="continuationSeparator" w:id="0">
    <w:p w14:paraId="17DDD5FD" w14:textId="77777777" w:rsidR="00333577" w:rsidRDefault="00333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8690B" w14:textId="77777777" w:rsidR="00333577" w:rsidRDefault="00333577">
      <w:r>
        <w:separator/>
      </w:r>
    </w:p>
  </w:footnote>
  <w:footnote w:type="continuationSeparator" w:id="0">
    <w:p w14:paraId="127B9FF0" w14:textId="77777777" w:rsidR="00333577" w:rsidRDefault="00333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DDE"/>
    <w:multiLevelType w:val="hybridMultilevel"/>
    <w:tmpl w:val="1D549E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151804"/>
    <w:multiLevelType w:val="multilevel"/>
    <w:tmpl w:val="EAE8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7C7DC9"/>
    <w:multiLevelType w:val="hybridMultilevel"/>
    <w:tmpl w:val="B72464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EAF2B25"/>
    <w:multiLevelType w:val="hybridMultilevel"/>
    <w:tmpl w:val="CCC646DE"/>
    <w:lvl w:ilvl="0" w:tplc="9DB6EB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3"/>
  </w:num>
  <w:num w:numId="2" w16cid:durableId="643587677">
    <w:abstractNumId w:val="1"/>
  </w:num>
  <w:num w:numId="3" w16cid:durableId="142552876">
    <w:abstractNumId w:val="2"/>
  </w:num>
  <w:num w:numId="4" w16cid:durableId="1244685668">
    <w:abstractNumId w:val="0"/>
  </w:num>
  <w:num w:numId="5" w16cid:durableId="1022320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013D2"/>
    <w:rsid w:val="0000529A"/>
    <w:rsid w:val="0000670B"/>
    <w:rsid w:val="00015337"/>
    <w:rsid w:val="00022711"/>
    <w:rsid w:val="00050EB1"/>
    <w:rsid w:val="000609F4"/>
    <w:rsid w:val="00083754"/>
    <w:rsid w:val="00087567"/>
    <w:rsid w:val="00096193"/>
    <w:rsid w:val="000A0B39"/>
    <w:rsid w:val="000B777F"/>
    <w:rsid w:val="000C2AAF"/>
    <w:rsid w:val="000D7429"/>
    <w:rsid w:val="000E2E8E"/>
    <w:rsid w:val="00115644"/>
    <w:rsid w:val="001360F0"/>
    <w:rsid w:val="0014185A"/>
    <w:rsid w:val="00141BB4"/>
    <w:rsid w:val="00162413"/>
    <w:rsid w:val="00166FF8"/>
    <w:rsid w:val="00181638"/>
    <w:rsid w:val="001C3522"/>
    <w:rsid w:val="001D1BE1"/>
    <w:rsid w:val="001E3B7C"/>
    <w:rsid w:val="001E45A4"/>
    <w:rsid w:val="001F339C"/>
    <w:rsid w:val="001F6CA9"/>
    <w:rsid w:val="002148A7"/>
    <w:rsid w:val="00226962"/>
    <w:rsid w:val="00226C79"/>
    <w:rsid w:val="002327B9"/>
    <w:rsid w:val="0023355D"/>
    <w:rsid w:val="00256790"/>
    <w:rsid w:val="00257A50"/>
    <w:rsid w:val="0026081A"/>
    <w:rsid w:val="002611C3"/>
    <w:rsid w:val="00266BD9"/>
    <w:rsid w:val="002713C4"/>
    <w:rsid w:val="0029571B"/>
    <w:rsid w:val="002A1C4A"/>
    <w:rsid w:val="002B431B"/>
    <w:rsid w:val="002B5163"/>
    <w:rsid w:val="002C2513"/>
    <w:rsid w:val="002C2BB1"/>
    <w:rsid w:val="002D1C18"/>
    <w:rsid w:val="002D3351"/>
    <w:rsid w:val="002D4FF8"/>
    <w:rsid w:val="0030191E"/>
    <w:rsid w:val="00303B9F"/>
    <w:rsid w:val="00310E94"/>
    <w:rsid w:val="00333577"/>
    <w:rsid w:val="00343539"/>
    <w:rsid w:val="00370C8E"/>
    <w:rsid w:val="00372A89"/>
    <w:rsid w:val="00376667"/>
    <w:rsid w:val="00377035"/>
    <w:rsid w:val="003A1873"/>
    <w:rsid w:val="003A2167"/>
    <w:rsid w:val="003A418E"/>
    <w:rsid w:val="003B3811"/>
    <w:rsid w:val="003E5878"/>
    <w:rsid w:val="003F5DA8"/>
    <w:rsid w:val="004146A5"/>
    <w:rsid w:val="00430A94"/>
    <w:rsid w:val="0044255D"/>
    <w:rsid w:val="00450CE9"/>
    <w:rsid w:val="00464580"/>
    <w:rsid w:val="00465499"/>
    <w:rsid w:val="00465EB1"/>
    <w:rsid w:val="00471A08"/>
    <w:rsid w:val="00483914"/>
    <w:rsid w:val="004928A5"/>
    <w:rsid w:val="0049412D"/>
    <w:rsid w:val="00495668"/>
    <w:rsid w:val="004A2B21"/>
    <w:rsid w:val="004A6801"/>
    <w:rsid w:val="004B6228"/>
    <w:rsid w:val="004C475E"/>
    <w:rsid w:val="004D1D81"/>
    <w:rsid w:val="004F6081"/>
    <w:rsid w:val="00507139"/>
    <w:rsid w:val="0050787E"/>
    <w:rsid w:val="005104F6"/>
    <w:rsid w:val="00534DEC"/>
    <w:rsid w:val="005359DA"/>
    <w:rsid w:val="005362D7"/>
    <w:rsid w:val="005928AB"/>
    <w:rsid w:val="00592D14"/>
    <w:rsid w:val="005A1C2C"/>
    <w:rsid w:val="005A601D"/>
    <w:rsid w:val="005A7286"/>
    <w:rsid w:val="005E6E50"/>
    <w:rsid w:val="00601247"/>
    <w:rsid w:val="0061415B"/>
    <w:rsid w:val="0061602F"/>
    <w:rsid w:val="0061623F"/>
    <w:rsid w:val="00623C54"/>
    <w:rsid w:val="006248D2"/>
    <w:rsid w:val="00652BE1"/>
    <w:rsid w:val="00692195"/>
    <w:rsid w:val="00692DA7"/>
    <w:rsid w:val="006B389D"/>
    <w:rsid w:val="006E5978"/>
    <w:rsid w:val="00700D8D"/>
    <w:rsid w:val="00705DD7"/>
    <w:rsid w:val="00724D39"/>
    <w:rsid w:val="0074275D"/>
    <w:rsid w:val="00745624"/>
    <w:rsid w:val="00745664"/>
    <w:rsid w:val="007835D5"/>
    <w:rsid w:val="00795A73"/>
    <w:rsid w:val="007B10C2"/>
    <w:rsid w:val="007B268A"/>
    <w:rsid w:val="007B3653"/>
    <w:rsid w:val="007B5806"/>
    <w:rsid w:val="007C1134"/>
    <w:rsid w:val="007E68CE"/>
    <w:rsid w:val="0081604E"/>
    <w:rsid w:val="00822003"/>
    <w:rsid w:val="008411B8"/>
    <w:rsid w:val="008442EF"/>
    <w:rsid w:val="00860042"/>
    <w:rsid w:val="00860969"/>
    <w:rsid w:val="00862BF3"/>
    <w:rsid w:val="00867BA2"/>
    <w:rsid w:val="00871C26"/>
    <w:rsid w:val="00876DB6"/>
    <w:rsid w:val="00882368"/>
    <w:rsid w:val="008A172F"/>
    <w:rsid w:val="008A7084"/>
    <w:rsid w:val="008D298D"/>
    <w:rsid w:val="008D51DC"/>
    <w:rsid w:val="008D7F85"/>
    <w:rsid w:val="008F4E88"/>
    <w:rsid w:val="00945346"/>
    <w:rsid w:val="009526A0"/>
    <w:rsid w:val="00963201"/>
    <w:rsid w:val="0099533B"/>
    <w:rsid w:val="009A130A"/>
    <w:rsid w:val="009A450D"/>
    <w:rsid w:val="009A4946"/>
    <w:rsid w:val="009B251D"/>
    <w:rsid w:val="009C05A8"/>
    <w:rsid w:val="00A118CC"/>
    <w:rsid w:val="00A21FA6"/>
    <w:rsid w:val="00A3628C"/>
    <w:rsid w:val="00A47E8E"/>
    <w:rsid w:val="00A50725"/>
    <w:rsid w:val="00A7503E"/>
    <w:rsid w:val="00AA64CB"/>
    <w:rsid w:val="00AC679F"/>
    <w:rsid w:val="00AC757F"/>
    <w:rsid w:val="00AE5025"/>
    <w:rsid w:val="00AF6EC5"/>
    <w:rsid w:val="00B017A4"/>
    <w:rsid w:val="00B11456"/>
    <w:rsid w:val="00B169C7"/>
    <w:rsid w:val="00B176E3"/>
    <w:rsid w:val="00B342F4"/>
    <w:rsid w:val="00B47BA7"/>
    <w:rsid w:val="00B7465C"/>
    <w:rsid w:val="00B801BC"/>
    <w:rsid w:val="00BA5921"/>
    <w:rsid w:val="00BB4241"/>
    <w:rsid w:val="00BC665E"/>
    <w:rsid w:val="00BE4637"/>
    <w:rsid w:val="00C1213E"/>
    <w:rsid w:val="00C1593C"/>
    <w:rsid w:val="00C3792B"/>
    <w:rsid w:val="00C4304D"/>
    <w:rsid w:val="00C57990"/>
    <w:rsid w:val="00C57A88"/>
    <w:rsid w:val="00C6280F"/>
    <w:rsid w:val="00C66D66"/>
    <w:rsid w:val="00CA03DB"/>
    <w:rsid w:val="00CB4634"/>
    <w:rsid w:val="00CD677E"/>
    <w:rsid w:val="00D01B88"/>
    <w:rsid w:val="00D04A7E"/>
    <w:rsid w:val="00D3340F"/>
    <w:rsid w:val="00D71FEF"/>
    <w:rsid w:val="00D74FDE"/>
    <w:rsid w:val="00D91FDF"/>
    <w:rsid w:val="00DB049E"/>
    <w:rsid w:val="00DE5573"/>
    <w:rsid w:val="00DF18D2"/>
    <w:rsid w:val="00E16D93"/>
    <w:rsid w:val="00E16E3B"/>
    <w:rsid w:val="00E414D7"/>
    <w:rsid w:val="00E459AB"/>
    <w:rsid w:val="00E4616E"/>
    <w:rsid w:val="00E51979"/>
    <w:rsid w:val="00E53D95"/>
    <w:rsid w:val="00E77967"/>
    <w:rsid w:val="00E94BCD"/>
    <w:rsid w:val="00EA5D08"/>
    <w:rsid w:val="00EB6945"/>
    <w:rsid w:val="00EC322E"/>
    <w:rsid w:val="00EC658D"/>
    <w:rsid w:val="00EC74CC"/>
    <w:rsid w:val="00ED5712"/>
    <w:rsid w:val="00ED7290"/>
    <w:rsid w:val="00EE32CE"/>
    <w:rsid w:val="00EF1DA8"/>
    <w:rsid w:val="00EF4F53"/>
    <w:rsid w:val="00EF54C8"/>
    <w:rsid w:val="00EF76C7"/>
    <w:rsid w:val="00F33524"/>
    <w:rsid w:val="00F54A92"/>
    <w:rsid w:val="00F60F51"/>
    <w:rsid w:val="00F63CA4"/>
    <w:rsid w:val="00F63CA5"/>
    <w:rsid w:val="00F6511D"/>
    <w:rsid w:val="00F735C1"/>
    <w:rsid w:val="00F73928"/>
    <w:rsid w:val="00F8010F"/>
    <w:rsid w:val="00F83864"/>
    <w:rsid w:val="00F94550"/>
    <w:rsid w:val="00F962C8"/>
    <w:rsid w:val="00FA2470"/>
    <w:rsid w:val="00FC5679"/>
    <w:rsid w:val="00FD33C2"/>
    <w:rsid w:val="00FF6BAA"/>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8F53CA37-E811-4A92-A7E8-C4BC36FD7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 w:type="character" w:styleId="NichtaufgelsteErwhnung">
    <w:name w:val="Unresolved Mention"/>
    <w:basedOn w:val="Absatz-Standardschriftart"/>
    <w:uiPriority w:val="99"/>
    <w:semiHidden/>
    <w:unhideWhenUsed/>
    <w:rsid w:val="006B389D"/>
    <w:rPr>
      <w:color w:val="605E5C"/>
      <w:shd w:val="clear" w:color="auto" w:fill="E1DFDD"/>
    </w:rPr>
  </w:style>
  <w:style w:type="paragraph" w:styleId="Listenabsatz">
    <w:name w:val="List Paragraph"/>
    <w:basedOn w:val="Standard"/>
    <w:uiPriority w:val="34"/>
    <w:qFormat/>
    <w:rsid w:val="00E4616E"/>
    <w:pPr>
      <w:ind w:left="720"/>
      <w:contextualSpacing/>
    </w:pPr>
  </w:style>
  <w:style w:type="paragraph" w:styleId="berarbeitung">
    <w:name w:val="Revision"/>
    <w:hidden/>
    <w:uiPriority w:val="99"/>
    <w:semiHidden/>
    <w:rsid w:val="00623C5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325129827">
      <w:bodyDiv w:val="1"/>
      <w:marLeft w:val="0"/>
      <w:marRight w:val="0"/>
      <w:marTop w:val="0"/>
      <w:marBottom w:val="0"/>
      <w:divBdr>
        <w:top w:val="none" w:sz="0" w:space="0" w:color="auto"/>
        <w:left w:val="none" w:sz="0" w:space="0" w:color="auto"/>
        <w:bottom w:val="none" w:sz="0" w:space="0" w:color="auto"/>
        <w:right w:val="none" w:sz="0" w:space="0" w:color="auto"/>
      </w:divBdr>
      <w:divsChild>
        <w:div w:id="2059359559">
          <w:marLeft w:val="0"/>
          <w:marRight w:val="0"/>
          <w:marTop w:val="0"/>
          <w:marBottom w:val="0"/>
          <w:divBdr>
            <w:top w:val="none" w:sz="0" w:space="0" w:color="auto"/>
            <w:left w:val="none" w:sz="0" w:space="0" w:color="auto"/>
            <w:bottom w:val="none" w:sz="0" w:space="0" w:color="auto"/>
            <w:right w:val="none" w:sz="0" w:space="0" w:color="auto"/>
          </w:divBdr>
          <w:divsChild>
            <w:div w:id="643656421">
              <w:marLeft w:val="0"/>
              <w:marRight w:val="0"/>
              <w:marTop w:val="0"/>
              <w:marBottom w:val="0"/>
              <w:divBdr>
                <w:top w:val="none" w:sz="0" w:space="0" w:color="auto"/>
                <w:left w:val="none" w:sz="0" w:space="0" w:color="auto"/>
                <w:bottom w:val="none" w:sz="0" w:space="0" w:color="auto"/>
                <w:right w:val="none" w:sz="0" w:space="0" w:color="auto"/>
              </w:divBdr>
              <w:divsChild>
                <w:div w:id="641929278">
                  <w:marLeft w:val="0"/>
                  <w:marRight w:val="0"/>
                  <w:marTop w:val="0"/>
                  <w:marBottom w:val="0"/>
                  <w:divBdr>
                    <w:top w:val="none" w:sz="0" w:space="0" w:color="auto"/>
                    <w:left w:val="none" w:sz="0" w:space="0" w:color="auto"/>
                    <w:bottom w:val="none" w:sz="0" w:space="0" w:color="auto"/>
                    <w:right w:val="none" w:sz="0" w:space="0" w:color="auto"/>
                  </w:divBdr>
                  <w:divsChild>
                    <w:div w:id="628779420">
                      <w:marLeft w:val="0"/>
                      <w:marRight w:val="0"/>
                      <w:marTop w:val="0"/>
                      <w:marBottom w:val="0"/>
                      <w:divBdr>
                        <w:top w:val="none" w:sz="0" w:space="0" w:color="auto"/>
                        <w:left w:val="none" w:sz="0" w:space="0" w:color="auto"/>
                        <w:bottom w:val="none" w:sz="0" w:space="0" w:color="auto"/>
                        <w:right w:val="none" w:sz="0" w:space="0" w:color="auto"/>
                      </w:divBdr>
                      <w:divsChild>
                        <w:div w:id="1294406461">
                          <w:marLeft w:val="0"/>
                          <w:marRight w:val="0"/>
                          <w:marTop w:val="0"/>
                          <w:marBottom w:val="0"/>
                          <w:divBdr>
                            <w:top w:val="none" w:sz="0" w:space="0" w:color="auto"/>
                            <w:left w:val="none" w:sz="0" w:space="0" w:color="auto"/>
                            <w:bottom w:val="none" w:sz="0" w:space="0" w:color="auto"/>
                            <w:right w:val="none" w:sz="0" w:space="0" w:color="auto"/>
                          </w:divBdr>
                          <w:divsChild>
                            <w:div w:id="15106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027449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097599888">
      <w:bodyDiv w:val="1"/>
      <w:marLeft w:val="0"/>
      <w:marRight w:val="0"/>
      <w:marTop w:val="0"/>
      <w:marBottom w:val="0"/>
      <w:divBdr>
        <w:top w:val="none" w:sz="0" w:space="0" w:color="auto"/>
        <w:left w:val="none" w:sz="0" w:space="0" w:color="auto"/>
        <w:bottom w:val="none" w:sz="0" w:space="0" w:color="auto"/>
        <w:right w:val="none" w:sz="0" w:space="0" w:color="auto"/>
      </w:divBdr>
      <w:divsChild>
        <w:div w:id="727873749">
          <w:marLeft w:val="0"/>
          <w:marRight w:val="0"/>
          <w:marTop w:val="0"/>
          <w:marBottom w:val="0"/>
          <w:divBdr>
            <w:top w:val="none" w:sz="0" w:space="0" w:color="auto"/>
            <w:left w:val="none" w:sz="0" w:space="0" w:color="auto"/>
            <w:bottom w:val="none" w:sz="0" w:space="0" w:color="auto"/>
            <w:right w:val="none" w:sz="0" w:space="0" w:color="auto"/>
          </w:divBdr>
          <w:divsChild>
            <w:div w:id="636305140">
              <w:marLeft w:val="0"/>
              <w:marRight w:val="0"/>
              <w:marTop w:val="0"/>
              <w:marBottom w:val="0"/>
              <w:divBdr>
                <w:top w:val="none" w:sz="0" w:space="0" w:color="auto"/>
                <w:left w:val="none" w:sz="0" w:space="0" w:color="auto"/>
                <w:bottom w:val="none" w:sz="0" w:space="0" w:color="auto"/>
                <w:right w:val="none" w:sz="0" w:space="0" w:color="auto"/>
              </w:divBdr>
              <w:divsChild>
                <w:div w:id="2071421089">
                  <w:marLeft w:val="0"/>
                  <w:marRight w:val="0"/>
                  <w:marTop w:val="0"/>
                  <w:marBottom w:val="0"/>
                  <w:divBdr>
                    <w:top w:val="none" w:sz="0" w:space="0" w:color="auto"/>
                    <w:left w:val="none" w:sz="0" w:space="0" w:color="auto"/>
                    <w:bottom w:val="none" w:sz="0" w:space="0" w:color="auto"/>
                    <w:right w:val="none" w:sz="0" w:space="0" w:color="auto"/>
                  </w:divBdr>
                  <w:divsChild>
                    <w:div w:id="1158614557">
                      <w:marLeft w:val="0"/>
                      <w:marRight w:val="0"/>
                      <w:marTop w:val="0"/>
                      <w:marBottom w:val="0"/>
                      <w:divBdr>
                        <w:top w:val="none" w:sz="0" w:space="0" w:color="auto"/>
                        <w:left w:val="none" w:sz="0" w:space="0" w:color="auto"/>
                        <w:bottom w:val="none" w:sz="0" w:space="0" w:color="auto"/>
                        <w:right w:val="none" w:sz="0" w:space="0" w:color="auto"/>
                      </w:divBdr>
                      <w:divsChild>
                        <w:div w:id="256060377">
                          <w:marLeft w:val="0"/>
                          <w:marRight w:val="0"/>
                          <w:marTop w:val="0"/>
                          <w:marBottom w:val="0"/>
                          <w:divBdr>
                            <w:top w:val="none" w:sz="0" w:space="0" w:color="auto"/>
                            <w:left w:val="none" w:sz="0" w:space="0" w:color="auto"/>
                            <w:bottom w:val="none" w:sz="0" w:space="0" w:color="auto"/>
                            <w:right w:val="none" w:sz="0" w:space="0" w:color="auto"/>
                          </w:divBdr>
                          <w:divsChild>
                            <w:div w:id="87539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387415802">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695377706">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 w:id="21002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ttgenroth.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3268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3779</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dc:description/>
  <cp:lastModifiedBy>Thea Konrad</cp:lastModifiedBy>
  <cp:revision>11</cp:revision>
  <cp:lastPrinted>2020-06-19T12:45:00Z</cp:lastPrinted>
  <dcterms:created xsi:type="dcterms:W3CDTF">2026-01-14T11:08:00Z</dcterms:created>
  <dcterms:modified xsi:type="dcterms:W3CDTF">2026-03-13T14:54:00Z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